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47B0" w14:textId="77777777" w:rsidR="003C4AC3" w:rsidRDefault="00357B71">
      <w:pPr>
        <w:pStyle w:val="Heading1"/>
        <w:spacing w:before="77"/>
        <w:ind w:left="0" w:right="-37"/>
        <w:jc w:val="center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NOTICE OF SETTLEMENT APPROVAL FOR CLASS ACTION AGAINST BUSBUD</w:t>
      </w:r>
    </w:p>
    <w:p w14:paraId="5FC11D80" w14:textId="77777777" w:rsidR="003C4AC3" w:rsidRDefault="00357B71">
      <w:pPr>
        <w:spacing w:before="116"/>
        <w:ind w:left="2046" w:right="1908" w:hanging="63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IF YOU PURCHASED A BUS TICKET VIA BUSBUD FROM ANYWHERE IN THE WORLD YOU MAY BE AFFECTED BY A PROPOSED CLASS ACTION SETTLEMENT</w:t>
      </w:r>
    </w:p>
    <w:p w14:paraId="0E95AD4A" w14:textId="77777777" w:rsidR="003C4AC3" w:rsidRDefault="003C4AC3">
      <w:pPr>
        <w:pStyle w:val="BodyText"/>
        <w:spacing w:before="9"/>
        <w:ind w:left="0" w:right="0"/>
        <w:jc w:val="left"/>
        <w:rPr>
          <w:b/>
          <w:sz w:val="15"/>
        </w:rPr>
      </w:pPr>
    </w:p>
    <w:p w14:paraId="1F25B80B" w14:textId="77777777" w:rsidR="003C4AC3" w:rsidRDefault="003C4AC3">
      <w:pPr>
        <w:rPr>
          <w:sz w:val="15"/>
        </w:rPr>
        <w:sectPr w:rsidR="003C4AC3">
          <w:headerReference w:type="default" r:id="rId8"/>
          <w:footerReference w:type="default" r:id="rId9"/>
          <w:type w:val="continuous"/>
          <w:pgSz w:w="12240" w:h="15840"/>
          <w:pgMar w:top="780" w:right="600" w:bottom="288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14:paraId="05122E67" w14:textId="77777777" w:rsidR="003C4AC3" w:rsidRDefault="00357B71">
      <w:pPr>
        <w:spacing w:before="94"/>
        <w:ind w:left="100"/>
        <w:rPr>
          <w:b/>
        </w:rPr>
      </w:pPr>
      <w:r>
        <w:rPr>
          <w:b/>
        </w:rPr>
        <w:t>NOTICE OF PROPOSED SETTLEMENT</w:t>
      </w:r>
    </w:p>
    <w:p w14:paraId="258AE5EF" w14:textId="77777777" w:rsidR="003C4AC3" w:rsidRDefault="00357B71">
      <w:pPr>
        <w:pStyle w:val="BodyText"/>
        <w:spacing w:before="119"/>
      </w:pPr>
      <w:r>
        <w:t>This Notice advises you of a proposed settlement of a class action brought in Quebec, on behalf of individuals wo</w:t>
      </w:r>
      <w:r>
        <w:t xml:space="preserve">rldwide, for fragmented pricing of bus tickets sold via Busbud’s website and mobile application. The Court file is </w:t>
      </w:r>
      <w:r>
        <w:rPr>
          <w:i/>
        </w:rPr>
        <w:t>Samson v. Busbud, et al.</w:t>
      </w:r>
      <w:r>
        <w:t>, Quebec Superior Court File No.</w:t>
      </w:r>
      <w:r>
        <w:rPr>
          <w:spacing w:val="-1"/>
        </w:rPr>
        <w:t xml:space="preserve"> </w:t>
      </w:r>
      <w:r>
        <w:t>500-06-000919-189 (District of Montreal).</w:t>
      </w:r>
    </w:p>
    <w:p w14:paraId="5CA3C45C" w14:textId="77777777" w:rsidR="003C4AC3" w:rsidRDefault="00357B71">
      <w:pPr>
        <w:pStyle w:val="Heading1"/>
        <w:spacing w:before="162"/>
      </w:pPr>
      <w:r>
        <w:t>WHAT IS THE CLASS ACTION ABOUT?</w:t>
      </w:r>
    </w:p>
    <w:p w14:paraId="11B0E2A7" w14:textId="77777777" w:rsidR="003C4AC3" w:rsidRDefault="00357B71">
      <w:pPr>
        <w:pStyle w:val="BodyText"/>
      </w:pPr>
      <w:r>
        <w:t xml:space="preserve">The </w:t>
      </w:r>
      <w:r>
        <w:t xml:space="preserve">plaintiff alleges that bus tickets sold via Busbud’s website and mobile applications were charged a higher price than initially advertised, and that additional fees were disclosed later in the purchase process. The court has made no findings on the merits </w:t>
      </w:r>
      <w:r>
        <w:t>of the allegations.</w:t>
      </w:r>
    </w:p>
    <w:p w14:paraId="49F3E35B" w14:textId="77777777" w:rsidR="003C4AC3" w:rsidRDefault="00357B71">
      <w:pPr>
        <w:pStyle w:val="Heading1"/>
        <w:ind w:right="41"/>
        <w:jc w:val="both"/>
      </w:pPr>
      <w:r>
        <w:t>WHO IS INCLUDED IN THE SETTLEMENT CLASS?</w:t>
      </w:r>
    </w:p>
    <w:p w14:paraId="2C65E6DD" w14:textId="77777777" w:rsidR="003C4AC3" w:rsidRDefault="00357B71">
      <w:pPr>
        <w:pStyle w:val="Heading1"/>
        <w:jc w:val="both"/>
      </w:pPr>
      <w:r>
        <w:rPr>
          <w:b w:val="0"/>
          <w:bCs w:val="0"/>
          <w:sz w:val="21"/>
          <w:szCs w:val="21"/>
        </w:rPr>
        <w:t>All individuals anywhere in the world, who from April 4, 2015 until June 8, 2019, purchased one or more bus tickets via Busbud (website and/or mobile application) and paid a service fee (or other</w:t>
      </w:r>
      <w:r>
        <w:rPr>
          <w:b w:val="0"/>
          <w:bCs w:val="0"/>
          <w:sz w:val="21"/>
          <w:szCs w:val="21"/>
        </w:rPr>
        <w:t xml:space="preserve"> similar fee) in addition to the bus ticket price.</w:t>
      </w:r>
    </w:p>
    <w:p w14:paraId="5C5666BA" w14:textId="77777777" w:rsidR="003C4AC3" w:rsidRDefault="00357B71">
      <w:pPr>
        <w:pStyle w:val="Heading1"/>
      </w:pPr>
      <w:r>
        <w:t>IS THE SETTLEMENT IN EFFECT?</w:t>
      </w:r>
    </w:p>
    <w:p w14:paraId="79AFE17B" w14:textId="77777777" w:rsidR="003C4AC3" w:rsidRDefault="00357B71">
      <w:pPr>
        <w:pStyle w:val="BodyText"/>
        <w:ind w:right="38"/>
      </w:pPr>
      <w:r>
        <w:t>No. Any settlement must first be approved by the Superior Court of Quebec before it takes legal effect.</w:t>
      </w:r>
    </w:p>
    <w:p w14:paraId="6B6A2BCF" w14:textId="77777777" w:rsidR="003C4AC3" w:rsidRDefault="00357B71">
      <w:pPr>
        <w:pStyle w:val="Heading1"/>
      </w:pPr>
      <w:r>
        <w:t>WHEN IS THE APPROVAL HEARING?</w:t>
      </w:r>
    </w:p>
    <w:p w14:paraId="631F956A" w14:textId="7914B614" w:rsidR="003C4AC3" w:rsidRDefault="00357B71">
      <w:pPr>
        <w:pStyle w:val="BodyText"/>
      </w:pPr>
      <w:r>
        <w:t xml:space="preserve">The approval hearing will be held on </w:t>
      </w:r>
      <w:r w:rsidR="009B23B7">
        <w:t>November 22</w:t>
      </w:r>
      <w:r w:rsidR="009B23B7" w:rsidRPr="009B23B7">
        <w:rPr>
          <w:vertAlign w:val="superscript"/>
        </w:rPr>
        <w:t>nd</w:t>
      </w:r>
      <w:r w:rsidR="009B23B7">
        <w:t xml:space="preserve"> 2019</w:t>
      </w:r>
      <w:r>
        <w:t xml:space="preserve"> at 9:00 a.m. in Room </w:t>
      </w:r>
      <w:r w:rsidR="009B23B7">
        <w:t>2.08</w:t>
      </w:r>
      <w:r>
        <w:t xml:space="preserve"> of the Montreal Court House. </w:t>
      </w:r>
    </w:p>
    <w:p w14:paraId="4DB3EF08" w14:textId="77777777" w:rsidR="003C4AC3" w:rsidRDefault="00357B71">
      <w:pPr>
        <w:spacing w:before="214"/>
        <w:ind w:left="100"/>
        <w:jc w:val="both"/>
        <w:rPr>
          <w:b/>
          <w:sz w:val="21"/>
        </w:rPr>
      </w:pPr>
      <w:r>
        <w:rPr>
          <w:b/>
          <w:sz w:val="21"/>
        </w:rPr>
        <w:t>WHAT CAN I RECEIVE FROM THE SETTLEMENT?</w:t>
      </w:r>
    </w:p>
    <w:p w14:paraId="0AE5D27D" w14:textId="77777777" w:rsidR="003C4AC3" w:rsidRDefault="00357B71">
      <w:pPr>
        <w:pStyle w:val="BodyText"/>
        <w:spacing w:before="159"/>
        <w:ind w:right="115"/>
      </w:pPr>
      <w:r>
        <w:t>Busbud will automatically issue to each class member a voucher worth seven Canadian dollars ($7.00CAD), regardless of the nu</w:t>
      </w:r>
      <w:r>
        <w:t xml:space="preserve">mber of bus tickets previously purchased. The vouchers must be used within twelve (12) months and are transferable. </w:t>
      </w:r>
    </w:p>
    <w:p w14:paraId="2DC8AAF3" w14:textId="77777777" w:rsidR="003C4AC3" w:rsidRDefault="00357B71">
      <w:pPr>
        <w:spacing w:before="214"/>
        <w:ind w:left="100"/>
        <w:jc w:val="both"/>
        <w:rPr>
          <w:b/>
          <w:sz w:val="21"/>
        </w:rPr>
      </w:pPr>
      <w:r>
        <w:rPr>
          <w:b/>
          <w:sz w:val="21"/>
        </w:rPr>
        <w:t>WILL BUSBUD CHANGE HOW IT DISPLAYS BUS TICKET PRICES?</w:t>
      </w:r>
    </w:p>
    <w:p w14:paraId="06530632" w14:textId="77777777" w:rsidR="003C4AC3" w:rsidRDefault="00357B71">
      <w:pPr>
        <w:pStyle w:val="BodyText"/>
        <w:spacing w:before="159"/>
        <w:ind w:right="115"/>
      </w:pPr>
      <w:r>
        <w:t xml:space="preserve">In addition to issuing a voucher to each class member, Busbud has undertaken, within ninety days of the settlement approval, to display an all-inclusive price at all steps of the purchasing process on its </w:t>
      </w:r>
      <w:r>
        <w:t>website and mobile application for all of its users</w:t>
      </w:r>
      <w:r>
        <w:t xml:space="preserve"> accessing its website with a Canadian IP address.</w:t>
      </w:r>
    </w:p>
    <w:p w14:paraId="3A215E71" w14:textId="77777777" w:rsidR="003C4AC3" w:rsidRDefault="003C4AC3">
      <w:pPr>
        <w:pStyle w:val="BodyText"/>
      </w:pPr>
    </w:p>
    <w:p w14:paraId="2D30EA52" w14:textId="77777777" w:rsidR="003C4AC3" w:rsidRDefault="00357B71">
      <w:pPr>
        <w:spacing w:before="214"/>
        <w:ind w:left="100"/>
        <w:jc w:val="both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WHAT ARE MY OPTIONS?</w:t>
      </w:r>
    </w:p>
    <w:p w14:paraId="489A1A63" w14:textId="77777777" w:rsidR="003C4AC3" w:rsidRDefault="00357B71">
      <w:pPr>
        <w:pStyle w:val="BodyText"/>
        <w:numPr>
          <w:ilvl w:val="0"/>
          <w:numId w:val="2"/>
        </w:numPr>
        <w:ind w:right="115"/>
      </w:pPr>
      <w:r>
        <w:t xml:space="preserve">If you </w:t>
      </w:r>
      <w:r>
        <w:rPr>
          <w:b/>
        </w:rPr>
        <w:t xml:space="preserve">want to participate in the settlement </w:t>
      </w:r>
      <w:r>
        <w:t>and receive the benefits, no action is required. You will then be bound by the terms of the legal release contained in the settlement agr</w:t>
      </w:r>
      <w:r>
        <w:t>eement.</w:t>
      </w:r>
    </w:p>
    <w:p w14:paraId="5AF3368F" w14:textId="77777777" w:rsidR="003C4AC3" w:rsidRDefault="00357B71">
      <w:pPr>
        <w:pStyle w:val="BodyText"/>
        <w:numPr>
          <w:ilvl w:val="0"/>
          <w:numId w:val="2"/>
        </w:numPr>
        <w:tabs>
          <w:tab w:val="left" w:pos="1746"/>
          <w:tab w:val="left" w:pos="2770"/>
          <w:tab w:val="left" w:pos="4184"/>
          <w:tab w:val="left" w:pos="4964"/>
        </w:tabs>
        <w:spacing w:before="161"/>
        <w:ind w:right="115"/>
      </w:pPr>
      <w:r>
        <w:t xml:space="preserve">If you </w:t>
      </w:r>
      <w:r>
        <w:rPr>
          <w:b/>
        </w:rPr>
        <w:t>do not want to participate in the settlement</w:t>
      </w:r>
      <w:r>
        <w:t>, you can opt out of the class action by filing the necessary exclusion documents with the Court as further detailed in the long-form notice.</w:t>
      </w:r>
    </w:p>
    <w:p w14:paraId="3F80E9AF" w14:textId="2FA9745B" w:rsidR="003C4AC3" w:rsidRDefault="00357B71">
      <w:pPr>
        <w:pStyle w:val="BodyText"/>
        <w:numPr>
          <w:ilvl w:val="0"/>
          <w:numId w:val="2"/>
        </w:numPr>
        <w:spacing w:before="158"/>
        <w:ind w:right="115"/>
      </w:pPr>
      <w:r>
        <w:t xml:space="preserve">If you wish to </w:t>
      </w:r>
      <w:r>
        <w:rPr>
          <w:b/>
        </w:rPr>
        <w:t xml:space="preserve">object </w:t>
      </w:r>
      <w:r>
        <w:rPr>
          <w:b/>
          <w:bCs/>
        </w:rPr>
        <w:t>to the terms of this proposed set</w:t>
      </w:r>
      <w:r>
        <w:rPr>
          <w:b/>
          <w:bCs/>
        </w:rPr>
        <w:t>tlement</w:t>
      </w:r>
      <w:r>
        <w:t xml:space="preserve">, you can write to Class Counsel by </w:t>
      </w:r>
      <w:r w:rsidR="009B23B7">
        <w:t>November 15, 2019</w:t>
      </w:r>
      <w:r>
        <w:t xml:space="preserve"> in accordance with the steps as further detailed in the long-form notice. Please note that the Court </w:t>
      </w:r>
      <w:r>
        <w:rPr>
          <w:b/>
          <w:bCs/>
        </w:rPr>
        <w:t>cannot</w:t>
      </w:r>
      <w:r>
        <w:t xml:space="preserve"> change the settlement terms. Any objections will be used by the Court to consider whet</w:t>
      </w:r>
      <w:r>
        <w:t>her to approve the</w:t>
      </w:r>
      <w:r>
        <w:rPr>
          <w:spacing w:val="-2"/>
        </w:rPr>
        <w:t xml:space="preserve"> </w:t>
      </w:r>
      <w:r>
        <w:t>settlement.</w:t>
      </w:r>
    </w:p>
    <w:p w14:paraId="4F91C154" w14:textId="77777777" w:rsidR="003C4AC3" w:rsidRDefault="00357B71">
      <w:pPr>
        <w:spacing w:before="160"/>
        <w:ind w:left="100"/>
        <w:jc w:val="both"/>
        <w:rPr>
          <w:b/>
          <w:sz w:val="21"/>
        </w:rPr>
      </w:pPr>
      <w:r>
        <w:rPr>
          <w:b/>
          <w:sz w:val="21"/>
        </w:rPr>
        <w:t>WHO REPRESENTS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 CLASS MEMBERS?</w:t>
      </w:r>
    </w:p>
    <w:p w14:paraId="25B29CCB" w14:textId="77777777" w:rsidR="003C4AC3" w:rsidRDefault="00357B71">
      <w:pPr>
        <w:spacing w:before="45" w:line="251" w:lineRule="exact"/>
        <w:ind w:left="100"/>
        <w:jc w:val="both"/>
      </w:pPr>
      <w:r>
        <w:t>The Plaintiff and Class Members are represented by:</w:t>
      </w:r>
    </w:p>
    <w:p w14:paraId="5035D317" w14:textId="77777777" w:rsidR="003C4AC3" w:rsidRDefault="003C4AC3">
      <w:pPr>
        <w:pStyle w:val="BodyText"/>
        <w:spacing w:before="12" w:line="252" w:lineRule="auto"/>
        <w:ind w:left="1135" w:right="1126" w:hanging="17"/>
        <w:rPr>
          <w:w w:val="105"/>
        </w:rPr>
      </w:pPr>
    </w:p>
    <w:p w14:paraId="3BEFEDCD" w14:textId="77777777" w:rsidR="003C4AC3" w:rsidRDefault="00357B71">
      <w:pPr>
        <w:pStyle w:val="BodyText"/>
        <w:spacing w:before="12" w:line="252" w:lineRule="auto"/>
        <w:ind w:right="25"/>
        <w:jc w:val="center"/>
        <w:rPr>
          <w:b/>
          <w:bCs/>
          <w:w w:val="105"/>
          <w:lang w:val="fr-CA"/>
        </w:rPr>
      </w:pPr>
      <w:r>
        <w:rPr>
          <w:b/>
          <w:bCs/>
          <w:w w:val="105"/>
          <w:lang w:val="fr-CA"/>
        </w:rPr>
        <w:t>Mtres. Sebastien Paquette and Jeremie Martin</w:t>
      </w:r>
    </w:p>
    <w:p w14:paraId="7E82A025" w14:textId="77777777" w:rsidR="003C4AC3" w:rsidRDefault="00357B71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Champlain Avocats</w:t>
      </w:r>
    </w:p>
    <w:p w14:paraId="7446A100" w14:textId="77777777" w:rsidR="003C4AC3" w:rsidRDefault="00357B71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1434 Sainte-Catherine Street West, Suite 200</w:t>
      </w:r>
    </w:p>
    <w:p w14:paraId="549B7D0D" w14:textId="77777777" w:rsidR="003C4AC3" w:rsidRDefault="00357B71">
      <w:pPr>
        <w:pStyle w:val="BodyText"/>
        <w:spacing w:before="12" w:line="252" w:lineRule="auto"/>
        <w:ind w:left="0" w:right="25"/>
        <w:jc w:val="center"/>
        <w:rPr>
          <w:lang w:val="fr-CA"/>
        </w:rPr>
      </w:pPr>
      <w:r>
        <w:rPr>
          <w:w w:val="105"/>
          <w:lang w:val="fr-CA"/>
        </w:rPr>
        <w:t>Montréal, Québec H3G 1R4</w:t>
      </w:r>
    </w:p>
    <w:p w14:paraId="6C1945E5" w14:textId="77777777" w:rsidR="003C4AC3" w:rsidRDefault="003C4AC3">
      <w:pPr>
        <w:pStyle w:val="BodyText"/>
        <w:spacing w:before="12" w:line="252" w:lineRule="auto"/>
        <w:ind w:left="1135" w:right="25" w:hanging="17"/>
        <w:jc w:val="center"/>
        <w:rPr>
          <w:w w:val="105"/>
          <w:lang w:val="fr-CA"/>
        </w:rPr>
      </w:pPr>
    </w:p>
    <w:p w14:paraId="209B4ACB" w14:textId="77777777" w:rsidR="003C4AC3" w:rsidRDefault="00357B71">
      <w:pPr>
        <w:pStyle w:val="BodyText"/>
        <w:spacing w:before="12" w:line="252" w:lineRule="auto"/>
        <w:ind w:left="0" w:right="25"/>
        <w:jc w:val="center"/>
        <w:rPr>
          <w:b/>
          <w:bCs/>
          <w:w w:val="105"/>
          <w:lang w:val="fr-CA"/>
        </w:rPr>
      </w:pPr>
      <w:r>
        <w:rPr>
          <w:b/>
          <w:bCs/>
          <w:w w:val="105"/>
          <w:lang w:val="fr-CA"/>
        </w:rPr>
        <w:t xml:space="preserve">M. </w:t>
      </w:r>
      <w:r>
        <w:rPr>
          <w:b/>
          <w:bCs/>
          <w:w w:val="105"/>
          <w:lang w:val="fr-CA"/>
        </w:rPr>
        <w:t>Simon Lin</w:t>
      </w:r>
    </w:p>
    <w:p w14:paraId="0091171B" w14:textId="77777777" w:rsidR="003C4AC3" w:rsidRDefault="00357B71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Evolink Law Group</w:t>
      </w:r>
    </w:p>
    <w:p w14:paraId="5930139D" w14:textId="77777777" w:rsidR="003C4AC3" w:rsidRDefault="00357B71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4388 Still Creek Drive, Suite 237</w:t>
      </w:r>
    </w:p>
    <w:p w14:paraId="246D5FB4" w14:textId="77777777" w:rsidR="003C4AC3" w:rsidRDefault="00357B71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Burnaby, British Columbia V5C 6C6</w:t>
      </w:r>
    </w:p>
    <w:p w14:paraId="12FD5063" w14:textId="77777777" w:rsidR="003C4AC3" w:rsidRDefault="00357B71">
      <w:pPr>
        <w:spacing w:before="160"/>
        <w:jc w:val="both"/>
        <w:rPr>
          <w:b/>
          <w:sz w:val="21"/>
        </w:rPr>
      </w:pPr>
      <w:r>
        <w:rPr>
          <w:b/>
          <w:sz w:val="21"/>
        </w:rPr>
        <w:t>WILL I BE CHARGED FOR LEGAL FEES?</w:t>
      </w:r>
    </w:p>
    <w:p w14:paraId="1B01B132" w14:textId="77777777" w:rsidR="003C4AC3" w:rsidRDefault="00357B71">
      <w:pPr>
        <w:tabs>
          <w:tab w:val="left" w:pos="4863"/>
        </w:tabs>
        <w:spacing w:before="117"/>
        <w:ind w:right="115"/>
        <w:jc w:val="both"/>
        <w:rPr>
          <w:bCs/>
        </w:rPr>
      </w:pPr>
      <w:r>
        <w:rPr>
          <w:bCs/>
        </w:rPr>
        <w:t>No, there is no financial obligation for the class members.</w:t>
      </w:r>
    </w:p>
    <w:p w14:paraId="2AF78CBA" w14:textId="77777777" w:rsidR="003C4AC3" w:rsidRDefault="00357B71">
      <w:pPr>
        <w:tabs>
          <w:tab w:val="left" w:pos="4863"/>
        </w:tabs>
        <w:spacing w:before="117"/>
        <w:ind w:right="115"/>
        <w:jc w:val="both"/>
        <w:rPr>
          <w:bCs/>
        </w:rPr>
      </w:pPr>
      <w:r>
        <w:rPr>
          <w:bCs/>
        </w:rPr>
        <w:t xml:space="preserve">Busbud, as part of the settlement, will be indemnifying the class </w:t>
      </w:r>
      <w:r>
        <w:rPr>
          <w:bCs/>
        </w:rPr>
        <w:t>members for legal fees, legal expenses and any service award to the Plaintiff in the amount of $150,000 plus applicable taxes. This indemnification is also subject to Court approval.</w:t>
      </w:r>
    </w:p>
    <w:p w14:paraId="75DE92EF" w14:textId="77777777" w:rsidR="003C4AC3" w:rsidRDefault="003C4AC3">
      <w:pPr>
        <w:tabs>
          <w:tab w:val="left" w:pos="4863"/>
        </w:tabs>
        <w:spacing w:before="117"/>
        <w:ind w:right="115"/>
        <w:jc w:val="both"/>
        <w:rPr>
          <w:b/>
          <w:sz w:val="21"/>
          <w:u w:val="thick"/>
        </w:rPr>
      </w:pPr>
    </w:p>
    <w:p w14:paraId="76B7D315" w14:textId="4907F188" w:rsidR="003C4AC3" w:rsidRDefault="00357B71">
      <w:pPr>
        <w:tabs>
          <w:tab w:val="left" w:pos="4863"/>
        </w:tabs>
        <w:spacing w:before="117"/>
        <w:ind w:right="115"/>
        <w:jc w:val="both"/>
        <w:rPr>
          <w:b/>
          <w:sz w:val="21"/>
        </w:rPr>
      </w:pPr>
      <w:r>
        <w:rPr>
          <w:b/>
          <w:sz w:val="21"/>
          <w:u w:val="thick"/>
        </w:rPr>
        <w:t>THIS NOTICE IS JUST A SUMMARY</w:t>
      </w:r>
      <w:r>
        <w:rPr>
          <w:b/>
          <w:sz w:val="21"/>
        </w:rPr>
        <w:t xml:space="preserve">. If there is any discrepancy between this </w:t>
      </w:r>
      <w:r>
        <w:rPr>
          <w:b/>
          <w:sz w:val="21"/>
        </w:rPr>
        <w:t>notice and the settlement agreement, the settlement agreement shall prevail. Go to</w:t>
      </w:r>
      <w:r w:rsidR="009B23B7">
        <w:rPr>
          <w:b/>
          <w:sz w:val="21"/>
        </w:rPr>
        <w:t xml:space="preserve"> </w:t>
      </w:r>
      <w:bookmarkStart w:id="0" w:name="_GoBack"/>
      <w:bookmarkEnd w:id="0"/>
      <w:r w:rsidR="009B23B7">
        <w:fldChar w:fldCharType="begin"/>
      </w:r>
      <w:r w:rsidR="009B23B7">
        <w:instrText xml:space="preserve"> HYPERLINK "https://champlainavocats.com/action-collective/busbud/" </w:instrText>
      </w:r>
      <w:r w:rsidR="009B23B7">
        <w:fldChar w:fldCharType="separate"/>
      </w:r>
      <w:r w:rsidR="009B23B7" w:rsidRPr="009B23B7">
        <w:t>https://champlainavocats.com/action-collective/busbud/</w:t>
      </w:r>
      <w:r w:rsidR="009B23B7">
        <w:fldChar w:fldCharType="end"/>
      </w:r>
      <w:r>
        <w:rPr>
          <w:b/>
          <w:sz w:val="21"/>
        </w:rPr>
        <w:t xml:space="preserve"> </w:t>
      </w:r>
      <w:r>
        <w:rPr>
          <w:b/>
          <w:spacing w:val="-9"/>
          <w:sz w:val="21"/>
        </w:rPr>
        <w:t xml:space="preserve">for </w:t>
      </w:r>
      <w:r>
        <w:rPr>
          <w:b/>
          <w:sz w:val="21"/>
        </w:rPr>
        <w:t xml:space="preserve">further information and to review the proposed </w:t>
      </w:r>
      <w:r>
        <w:rPr>
          <w:b/>
          <w:sz w:val="21"/>
        </w:rPr>
        <w:t>settlement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agreement.</w:t>
      </w:r>
    </w:p>
    <w:sectPr w:rsidR="003C4AC3">
      <w:type w:val="continuous"/>
      <w:pgSz w:w="12240" w:h="15840"/>
      <w:pgMar w:top="780" w:right="600" w:bottom="288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5184" w:space="576"/>
        <w:col w:w="52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ABCB" w14:textId="77777777" w:rsidR="00357B71" w:rsidRDefault="00357B71">
      <w:r>
        <w:separator/>
      </w:r>
    </w:p>
  </w:endnote>
  <w:endnote w:type="continuationSeparator" w:id="0">
    <w:p w14:paraId="24BA9D10" w14:textId="77777777" w:rsidR="00357B71" w:rsidRDefault="0035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6195" w14:textId="77777777" w:rsidR="003C4AC3" w:rsidRDefault="00357B71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360045" distB="0" distL="114300" distR="114300" simplePos="0" relativeHeight="251659264" behindDoc="0" locked="0" layoutInCell="1" allowOverlap="0" wp14:anchorId="0322DCED" wp14:editId="6B822ECF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000"/>
              <wp:effectExtent l="0" t="0" r="0" b="17145"/>
              <wp:wrapNone/>
              <wp:docPr id="24" name="DocsID_PF4362286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ABCAD" w14:textId="77777777" w:rsidR="003C4AC3" w:rsidRDefault="00357B71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CAN_DMS: \127882250\2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2DCED" id="_x0000_t202" coordsize="21600,21600" o:spt="202" path="m,l,21600r21600,l21600,xe">
              <v:stroke joinstyle="miter"/>
              <v:path gradientshapeok="t" o:connecttype="rect"/>
            </v:shapetype>
            <v:shape id="DocsID_PF4362286511" o:spid="_x0000_s1026" type="#_x0000_t202" style="position:absolute;margin-left:-.05pt;margin-top:0;width:468pt;height:48.2pt;z-index:25165926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" o:allowoverlap="f" filled="f" stroked="f">
              <v:textbox inset="0,0,0,0">
                <w:txbxContent>
                  <w:p w14:paraId="7C4ABCAD" w14:textId="77777777" w:rsidR="003C4AC3" w:rsidRDefault="00357B71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CAN_DMS: \127882250\2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443D" w14:textId="77777777" w:rsidR="00357B71" w:rsidRDefault="00357B71">
      <w:r>
        <w:separator/>
      </w:r>
    </w:p>
  </w:footnote>
  <w:footnote w:type="continuationSeparator" w:id="0">
    <w:p w14:paraId="67BC2ABF" w14:textId="77777777" w:rsidR="00357B71" w:rsidRDefault="0035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C151" w14:textId="77777777" w:rsidR="003C4AC3" w:rsidRDefault="00357B7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B43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1D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C49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6A40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2289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5E5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8D0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6EA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365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4E8E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0F12"/>
    <w:multiLevelType w:val="hybridMultilevel"/>
    <w:tmpl w:val="B502C3C2"/>
    <w:lvl w:ilvl="0" w:tplc="64C66B6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4"/>
        <w:szCs w:val="24"/>
      </w:rPr>
    </w:lvl>
    <w:lvl w:ilvl="1" w:tplc="563CD318">
      <w:numFmt w:val="bullet"/>
      <w:lvlText w:val="•"/>
      <w:lvlJc w:val="left"/>
      <w:pPr>
        <w:ind w:left="932" w:hanging="360"/>
      </w:pPr>
      <w:rPr>
        <w:rFonts w:hint="default"/>
      </w:rPr>
    </w:lvl>
    <w:lvl w:ilvl="2" w:tplc="BF827BB2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D106930A">
      <w:numFmt w:val="bullet"/>
      <w:lvlText w:val="•"/>
      <w:lvlJc w:val="left"/>
      <w:pPr>
        <w:ind w:left="1877" w:hanging="360"/>
      </w:pPr>
      <w:rPr>
        <w:rFonts w:hint="default"/>
      </w:rPr>
    </w:lvl>
    <w:lvl w:ilvl="4" w:tplc="69D0F254"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0E8A1C42">
      <w:numFmt w:val="bullet"/>
      <w:lvlText w:val="•"/>
      <w:lvlJc w:val="left"/>
      <w:pPr>
        <w:ind w:left="2821" w:hanging="360"/>
      </w:pPr>
      <w:rPr>
        <w:rFonts w:hint="default"/>
      </w:rPr>
    </w:lvl>
    <w:lvl w:ilvl="6" w:tplc="88E8A76A">
      <w:numFmt w:val="bullet"/>
      <w:lvlText w:val="•"/>
      <w:lvlJc w:val="left"/>
      <w:pPr>
        <w:ind w:left="3294" w:hanging="360"/>
      </w:pPr>
      <w:rPr>
        <w:rFonts w:hint="default"/>
      </w:rPr>
    </w:lvl>
    <w:lvl w:ilvl="7" w:tplc="11F06A1A"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0182572E"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1" w15:restartNumberingAfterBreak="0">
    <w:nsid w:val="55D053BA"/>
    <w:multiLevelType w:val="hybridMultilevel"/>
    <w:tmpl w:val="A4888AFA"/>
    <w:lvl w:ilvl="0" w:tplc="DB18BA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AC3"/>
    <w:rsid w:val="00357B71"/>
    <w:rsid w:val="003C4AC3"/>
    <w:rsid w:val="009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F467"/>
  <w15:docId w15:val="{D149DAFC-D642-4F11-80F9-68C30610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9"/>
    <w:unhideWhenUsed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9"/>
    <w:semiHidden/>
    <w:unhideWhenUsed/>
    <w:pPr>
      <w:spacing w:before="160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60"/>
      <w:ind w:left="100" w:right="39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99"/>
    <w:semiHidden/>
    <w:unhideWhenUsed/>
    <w:pPr>
      <w:spacing w:before="179"/>
      <w:ind w:left="527" w:right="38" w:hanging="427"/>
      <w:jc w:val="both"/>
    </w:pPr>
  </w:style>
  <w:style w:type="paragraph" w:customStyle="1" w:styleId="TableParagraph">
    <w:name w:val="Table Paragraph"/>
    <w:basedOn w:val="Normal"/>
    <w:uiPriority w:val="29"/>
    <w:qFormat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before="0"/>
      <w:ind w:left="0" w:right="0" w:firstLine="360"/>
      <w:jc w:val="lef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Arial" w:hAnsi="Arial" w:cs="Arial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Arial" w:hAnsi="Arial" w:cs="Arial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Arial" w:hAnsi="Arial" w:cs="Arial"/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Arial" w:hAnsi="Arial" w:cs="Arial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Arial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Arial" w:hAnsi="Arial" w:cs="Arial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Arial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Arial" w:hAnsi="Arial" w:cs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Arial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Arial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Arial" w:hAnsi="Arial" w:cs="Arial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Arial" w:hAnsi="Arial" w:cs="Arial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ocsID">
    <w:name w:val="DocsID"/>
    <w:basedOn w:val="Normal"/>
    <w:uiPriority w:val="29"/>
    <w:qFormat/>
    <w:pPr>
      <w:autoSpaceDE/>
      <w:autoSpaceDN/>
      <w:spacing w:before="20" w:line="160" w:lineRule="exact"/>
    </w:pPr>
    <w:rPr>
      <w:rFonts w:eastAsia="Times New Roman" w:cs="Times New Roman"/>
      <w:sz w:val="16"/>
      <w:szCs w:val="13"/>
      <w:lang w:val="en-CA"/>
    </w:rPr>
  </w:style>
  <w:style w:type="character" w:customStyle="1" w:styleId="Prompt">
    <w:name w:val="Prompt"/>
    <w:basedOn w:val="DefaultParagraphFont"/>
    <w:uiPriority w:val="29"/>
    <w:qFormat/>
    <w:rPr>
      <w:color w:val="0000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7AFA-DF29-4FBE-A645-9895A0F3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3362</Characters>
  <Application>Microsoft Office Word</Application>
  <DocSecurity>0</DocSecurity>
  <Lines>258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Pre-Approval Notice EN (18-04-26)</vt:lpstr>
    </vt:vector>
  </TitlesOfParts>
  <Company/>
  <LinksUpToDate>false</LinksUpToDate>
  <CharactersWithSpaces>3669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Sebastien</cp:lastModifiedBy>
  <cp:revision>2</cp:revision>
  <dcterms:created xsi:type="dcterms:W3CDTF">2019-09-24T16:05:00Z</dcterms:created>
  <dcterms:modified xsi:type="dcterms:W3CDTF">2019-09-24T16:06:00Z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\127882250\2</vt:lpwstr>
  </property>
</Properties>
</file>